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5B38" w14:textId="20929809" w:rsidR="00A23A61" w:rsidRPr="0008229A" w:rsidRDefault="002E015B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r w:rsidR="0008229A"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2</w:t>
      </w: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la Ghidul Solicitantului Condiții Specifice </w:t>
      </w:r>
    </w:p>
    <w:p w14:paraId="06944A44" w14:textId="43F5073F" w:rsidR="002E015B" w:rsidRDefault="002E015B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D7633" w:rsidRP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ASISTENȚĂ TEHNICĂ</w:t>
      </w:r>
      <w:r w:rsidR="007D7633" w:rsidRP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</w:t>
      </w:r>
      <w:r w:rsid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PEO 2021-2027</w:t>
      </w: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2AC422F3" w14:textId="77777777" w:rsidR="000C50B2" w:rsidRPr="0008229A" w:rsidRDefault="000C50B2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p w14:paraId="4DFA8E3C" w14:textId="57FF8EFB" w:rsidR="00CB4109" w:rsidRPr="0008229A" w:rsidRDefault="002E015B" w:rsidP="00CB4109">
      <w:pPr>
        <w:pStyle w:val="Heading2"/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</w:pPr>
      <w:bookmarkStart w:id="0" w:name="_Hlk140756116"/>
      <w:r w:rsidRPr="0008229A"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  <w:t>Criteriile de evaluare tehnică şi financiară preliminară</w:t>
      </w:r>
    </w:p>
    <w:tbl>
      <w:tblPr>
        <w:tblStyle w:val="TableGrid"/>
        <w:tblW w:w="5054" w:type="pct"/>
        <w:tblLook w:val="04A0" w:firstRow="1" w:lastRow="0" w:firstColumn="1" w:lastColumn="0" w:noHBand="0" w:noVBand="1"/>
      </w:tblPr>
      <w:tblGrid>
        <w:gridCol w:w="597"/>
        <w:gridCol w:w="3891"/>
        <w:gridCol w:w="7239"/>
        <w:gridCol w:w="1363"/>
      </w:tblGrid>
      <w:tr w:rsidR="00B96290" w:rsidRPr="0008229A" w14:paraId="4B8CD982" w14:textId="77777777" w:rsidTr="000C50B2">
        <w:tc>
          <w:tcPr>
            <w:tcW w:w="200" w:type="pct"/>
          </w:tcPr>
          <w:p w14:paraId="247C3D9D" w14:textId="3FB0E8AC" w:rsidR="00F44861" w:rsidRPr="0008229A" w:rsidRDefault="000C50B2" w:rsidP="000C50B2">
            <w:pPr>
              <w:tabs>
                <w:tab w:val="left" w:pos="-540"/>
              </w:tabs>
              <w:spacing w:after="160" w:line="259" w:lineRule="auto"/>
              <w:ind w:right="-43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bookmarkStart w:id="1" w:name="_Hlk130826571"/>
            <w:bookmarkStart w:id="2" w:name="_Hlk130540465"/>
            <w:bookmarkEnd w:id="0"/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Nr. ctr.</w:t>
            </w:r>
          </w:p>
        </w:tc>
        <w:tc>
          <w:tcPr>
            <w:tcW w:w="1516" w:type="pct"/>
          </w:tcPr>
          <w:p w14:paraId="4D5482AE" w14:textId="77777777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2795" w:type="pct"/>
          </w:tcPr>
          <w:p w14:paraId="3E263476" w14:textId="77777777" w:rsidR="00F44861" w:rsidRPr="0008229A" w:rsidRDefault="00F44861" w:rsidP="0008229A">
            <w:pPr>
              <w:tabs>
                <w:tab w:val="left" w:pos="-540"/>
              </w:tabs>
              <w:ind w:right="-630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489" w:type="pct"/>
          </w:tcPr>
          <w:p w14:paraId="5AB7783E" w14:textId="77777777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61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bookmarkEnd w:id="1"/>
      <w:tr w:rsidR="00B96290" w:rsidRPr="0008229A" w14:paraId="291247AC" w14:textId="77777777" w:rsidTr="000C50B2">
        <w:trPr>
          <w:trHeight w:val="841"/>
        </w:trPr>
        <w:tc>
          <w:tcPr>
            <w:tcW w:w="200" w:type="pct"/>
          </w:tcPr>
          <w:p w14:paraId="75813B25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1516" w:type="pct"/>
          </w:tcPr>
          <w:p w14:paraId="595503DB" w14:textId="752DE1AE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-3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?</w:t>
            </w:r>
          </w:p>
        </w:tc>
        <w:tc>
          <w:tcPr>
            <w:tcW w:w="2795" w:type="pct"/>
          </w:tcPr>
          <w:p w14:paraId="2D81D5CE" w14:textId="10896768" w:rsidR="00F44861" w:rsidRPr="0008229A" w:rsidRDefault="00F44861" w:rsidP="0008229A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left="-33" w:firstLine="393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este însoțită de toate anexele solicitate 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î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n Ghidul Solicitantului – Condiții Specifice și Condiții Generale</w:t>
            </w:r>
            <w:r w:rsidR="006D1523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, dacă e cazul;</w:t>
            </w:r>
          </w:p>
          <w:p w14:paraId="71DCDC1B" w14:textId="397DCB6B" w:rsidR="00F44861" w:rsidRPr="0008229A" w:rsidRDefault="00F44861" w:rsidP="0008229A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left="-33" w:firstLine="393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Solicitantul fac</w:t>
            </w:r>
            <w:r w:rsidR="00BD0D1C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e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 parte  din categoriile de beneficiari eligibili men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ionate în Ghidul Solicitantului -Condiții  Specifice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;</w:t>
            </w:r>
          </w:p>
          <w:p w14:paraId="7B010AFD" w14:textId="29F1A5E8" w:rsidR="00F44861" w:rsidRPr="00BD0D1C" w:rsidRDefault="00F44861" w:rsidP="00BD0D1C">
            <w:pPr>
              <w:tabs>
                <w:tab w:val="left" w:pos="-540"/>
              </w:tabs>
              <w:ind w:left="-33"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489" w:type="pct"/>
          </w:tcPr>
          <w:p w14:paraId="720F8D89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285D9462" w14:textId="1F0D7C5A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0C4D8BCA" w14:textId="77777777" w:rsidTr="000C50B2">
        <w:trPr>
          <w:trHeight w:val="1124"/>
        </w:trPr>
        <w:tc>
          <w:tcPr>
            <w:tcW w:w="200" w:type="pct"/>
          </w:tcPr>
          <w:p w14:paraId="3D5463AE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1516" w:type="pct"/>
          </w:tcPr>
          <w:p w14:paraId="613882D2" w14:textId="6CAD4B1C" w:rsidR="00F44861" w:rsidRPr="0008229A" w:rsidRDefault="00F44861" w:rsidP="00811692">
            <w:pPr>
              <w:tabs>
                <w:tab w:val="left" w:pos="-540"/>
              </w:tabs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se încadrează</w:t>
            </w:r>
            <w:r w:rsidR="00D54F9F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 program, conform specificului de finanțare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</w:t>
            </w:r>
            <w:r w:rsidR="00D54F9F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2795" w:type="pct"/>
          </w:tcPr>
          <w:p w14:paraId="7B3CB20E" w14:textId="0BC4E4E7" w:rsidR="00F44861" w:rsidRPr="0008229A" w:rsidRDefault="00F44861" w:rsidP="0008229A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left="-29" w:firstLine="389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Proiectul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este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încadrat în prioritatea, obiectivul specific, indicatorii de realizare, rezultate, grup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int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ă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, durată, conform </w:t>
            </w:r>
            <w:r w:rsidR="007A0F83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PEO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ș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  Ghidului Solicitantului - Condiții Specifice.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489" w:type="pct"/>
          </w:tcPr>
          <w:p w14:paraId="6287BC3E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2C78F24C" w14:textId="77777777" w:rsidTr="000C50B2">
        <w:trPr>
          <w:trHeight w:val="1583"/>
        </w:trPr>
        <w:tc>
          <w:tcPr>
            <w:tcW w:w="200" w:type="pct"/>
          </w:tcPr>
          <w:p w14:paraId="15F88220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1516" w:type="pct"/>
          </w:tcPr>
          <w:p w14:paraId="79A4D2DF" w14:textId="4A0CD8D8" w:rsidR="00F44861" w:rsidRPr="0008229A" w:rsidRDefault="00287AAE" w:rsidP="004B3D5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Valoarea 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respectă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privind eligibilitatea cheltuielilor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regulile de stabilire a acestora, conform prevederilor Ghidului Solicitantului - Condiții Specifice?</w:t>
            </w:r>
          </w:p>
        </w:tc>
        <w:tc>
          <w:tcPr>
            <w:tcW w:w="2795" w:type="pct"/>
          </w:tcPr>
          <w:p w14:paraId="1E00AE9A" w14:textId="14889F8C" w:rsidR="00F44861" w:rsidRPr="0008229A" w:rsidRDefault="00F44861" w:rsidP="00082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rebuchet MS" w:hAnsi="Trebuchet MS"/>
                <w:color w:val="1F3864" w:themeColor="accent1" w:themeShade="80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Bugetul respectă rata de cofinan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are (FSE+, buget național și contribuție proprie)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1B371DA5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23FBC034" w14:textId="77777777" w:rsidTr="000C50B2">
        <w:tc>
          <w:tcPr>
            <w:tcW w:w="200" w:type="pct"/>
          </w:tcPr>
          <w:p w14:paraId="36F41FA8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1516" w:type="pct"/>
          </w:tcPr>
          <w:p w14:paraId="1DD9688A" w14:textId="4F58363B" w:rsidR="00F44861" w:rsidRPr="0008229A" w:rsidRDefault="00F44861" w:rsidP="000C50B2">
            <w:pPr>
              <w:tabs>
                <w:tab w:val="left" w:pos="-540"/>
              </w:tabs>
              <w:ind w:right="67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cel puțin activitățile obligatorii?</w:t>
            </w:r>
          </w:p>
        </w:tc>
        <w:tc>
          <w:tcPr>
            <w:tcW w:w="2795" w:type="pct"/>
          </w:tcPr>
          <w:p w14:paraId="388C43C2" w14:textId="3A22F72E" w:rsidR="00F44861" w:rsidRPr="00BD0D1C" w:rsidRDefault="00F44861" w:rsidP="00BD0D1C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Proiectul cuprinde activitățile prevăzute în Ghidul Solicitantului– Condiții Specifice</w:t>
            </w:r>
          </w:p>
        </w:tc>
        <w:tc>
          <w:tcPr>
            <w:tcW w:w="489" w:type="pct"/>
          </w:tcPr>
          <w:p w14:paraId="78104A35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70C9C326" w14:textId="77777777" w:rsidTr="00BD0D1C">
        <w:trPr>
          <w:trHeight w:val="558"/>
        </w:trPr>
        <w:tc>
          <w:tcPr>
            <w:tcW w:w="200" w:type="pct"/>
          </w:tcPr>
          <w:p w14:paraId="100F3605" w14:textId="621FCEB1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1516" w:type="pct"/>
          </w:tcPr>
          <w:p w14:paraId="329808D4" w14:textId="2C599E9E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promovarea principiilor orizontale din PEO</w:t>
            </w:r>
          </w:p>
        </w:tc>
        <w:tc>
          <w:tcPr>
            <w:tcW w:w="2795" w:type="pct"/>
          </w:tcPr>
          <w:p w14:paraId="0D976A89" w14:textId="51DCC769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Proiectul contribuie prin activitățile propuse la promovarea principiilor orizontale din PEO, conform specificațiilor din Ghidului Solicitantului (dezvoltare durabilă, egalitate de șanse și de tratament între femei și bărbați/nediscriminarea și prevenirea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lastRenderedPageBreak/>
              <w:t>oricărei forme de discriminare/accesibilitatea pentru persoanele cu dizabilități)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04DEC21F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07C6543B" w14:textId="77777777" w:rsidTr="000C50B2">
        <w:trPr>
          <w:trHeight w:val="786"/>
        </w:trPr>
        <w:tc>
          <w:tcPr>
            <w:tcW w:w="200" w:type="pct"/>
          </w:tcPr>
          <w:p w14:paraId="5CE10142" w14:textId="3BC92CFB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1516" w:type="pct"/>
          </w:tcPr>
          <w:p w14:paraId="3EFA1EB6" w14:textId="2807374A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08229A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2795" w:type="pct"/>
          </w:tcPr>
          <w:p w14:paraId="1C790EE0" w14:textId="0FA315FB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right="28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are anexată 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Declarați</w:t>
            </w:r>
            <w:r w:rsid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privind conformitatea cu prevederile Cartei drepturilor fundamentale ale Uniunii Europene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6B3C6A49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5273F629" w14:textId="77777777" w:rsidTr="000C50B2">
        <w:trPr>
          <w:trHeight w:val="786"/>
        </w:trPr>
        <w:tc>
          <w:tcPr>
            <w:tcW w:w="200" w:type="pct"/>
          </w:tcPr>
          <w:p w14:paraId="4791FE9F" w14:textId="03959FE1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1516" w:type="pct"/>
          </w:tcPr>
          <w:p w14:paraId="46E20296" w14:textId="0F913AB6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prevederile Convenției ONU privind drepturile persoanelor cu handicap</w:t>
            </w:r>
          </w:p>
        </w:tc>
        <w:tc>
          <w:tcPr>
            <w:tcW w:w="2795" w:type="pct"/>
          </w:tcPr>
          <w:p w14:paraId="678A12C0" w14:textId="3B856FA9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right="28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are anexată 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Declarați</w:t>
            </w:r>
            <w:r w:rsidR="006D390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privind respectarea Convenției Națiunilor Unite privind drepturile persoanelor cu dizabilități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36FE3CEC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</w:tbl>
    <w:bookmarkEnd w:id="2"/>
    <w:p w14:paraId="2BEFF1BC" w14:textId="2316A481" w:rsidR="00E75CEB" w:rsidRPr="0008229A" w:rsidRDefault="000B611A" w:rsidP="008933EC">
      <w:pPr>
        <w:rPr>
          <w:rFonts w:ascii="Trebuchet MS" w:hAnsi="Trebuchet MS"/>
          <w:color w:val="1F3864" w:themeColor="accent1" w:themeShade="80"/>
          <w:lang w:val="ro-RO"/>
        </w:rPr>
      </w:pPr>
      <w:r w:rsidRPr="0008229A">
        <w:rPr>
          <w:rFonts w:ascii="Trebuchet MS" w:hAnsi="Trebuchet MS"/>
          <w:color w:val="1F3864" w:themeColor="accent1" w:themeShade="80"/>
          <w:lang w:val="ro-RO"/>
        </w:rPr>
        <w:t>Cererile de finanțare care obțin N</w:t>
      </w:r>
      <w:r w:rsidR="008933EC" w:rsidRPr="0008229A">
        <w:rPr>
          <w:rFonts w:ascii="Trebuchet MS" w:hAnsi="Trebuchet MS"/>
          <w:color w:val="1F3864" w:themeColor="accent1" w:themeShade="80"/>
          <w:lang w:val="ro-RO"/>
        </w:rPr>
        <w:t>U</w:t>
      </w:r>
      <w:r w:rsidRPr="0008229A">
        <w:rPr>
          <w:rFonts w:ascii="Trebuchet MS" w:hAnsi="Trebuchet MS"/>
          <w:color w:val="1F3864" w:themeColor="accent1" w:themeShade="80"/>
          <w:lang w:val="ro-RO"/>
        </w:rPr>
        <w:t xml:space="preserve"> la unul din elementele de verificare vor fi respinse.</w:t>
      </w:r>
    </w:p>
    <w:sectPr w:rsidR="00E75CEB" w:rsidRPr="0008229A" w:rsidSect="00CB41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051"/>
    <w:multiLevelType w:val="hybridMultilevel"/>
    <w:tmpl w:val="327E5F94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264"/>
    <w:multiLevelType w:val="hybridMultilevel"/>
    <w:tmpl w:val="6BB692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415"/>
    <w:multiLevelType w:val="hybridMultilevel"/>
    <w:tmpl w:val="5D5C06E6"/>
    <w:lvl w:ilvl="0" w:tplc="637AD1B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D526C"/>
    <w:multiLevelType w:val="hybridMultilevel"/>
    <w:tmpl w:val="28DE333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033C"/>
    <w:multiLevelType w:val="hybridMultilevel"/>
    <w:tmpl w:val="04CA1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46E"/>
    <w:multiLevelType w:val="hybridMultilevel"/>
    <w:tmpl w:val="7EB8F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421B4"/>
    <w:multiLevelType w:val="hybridMultilevel"/>
    <w:tmpl w:val="591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148314">
    <w:abstractNumId w:val="1"/>
  </w:num>
  <w:num w:numId="2" w16cid:durableId="2031761092">
    <w:abstractNumId w:val="7"/>
  </w:num>
  <w:num w:numId="3" w16cid:durableId="2079088157">
    <w:abstractNumId w:val="2"/>
  </w:num>
  <w:num w:numId="4" w16cid:durableId="505248137">
    <w:abstractNumId w:val="6"/>
  </w:num>
  <w:num w:numId="5" w16cid:durableId="149517209">
    <w:abstractNumId w:val="0"/>
  </w:num>
  <w:num w:numId="6" w16cid:durableId="353271167">
    <w:abstractNumId w:val="3"/>
  </w:num>
  <w:num w:numId="7" w16cid:durableId="1226524107">
    <w:abstractNumId w:val="5"/>
  </w:num>
  <w:num w:numId="8" w16cid:durableId="807864725">
    <w:abstractNumId w:val="4"/>
  </w:num>
  <w:num w:numId="9" w16cid:durableId="1142849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5B"/>
    <w:rsid w:val="0008229A"/>
    <w:rsid w:val="000A1F90"/>
    <w:rsid w:val="000A7FB1"/>
    <w:rsid w:val="000B611A"/>
    <w:rsid w:val="000C50B2"/>
    <w:rsid w:val="000F5592"/>
    <w:rsid w:val="0011193F"/>
    <w:rsid w:val="00142D24"/>
    <w:rsid w:val="00287AAE"/>
    <w:rsid w:val="002E015B"/>
    <w:rsid w:val="002E4EE4"/>
    <w:rsid w:val="003E5051"/>
    <w:rsid w:val="0049458D"/>
    <w:rsid w:val="004E11A8"/>
    <w:rsid w:val="005106EA"/>
    <w:rsid w:val="00547DA2"/>
    <w:rsid w:val="005C16A3"/>
    <w:rsid w:val="00614A8C"/>
    <w:rsid w:val="006D1523"/>
    <w:rsid w:val="006D390F"/>
    <w:rsid w:val="006E13DF"/>
    <w:rsid w:val="007A0F83"/>
    <w:rsid w:val="007D7633"/>
    <w:rsid w:val="007F2256"/>
    <w:rsid w:val="00811692"/>
    <w:rsid w:val="00815BCC"/>
    <w:rsid w:val="0084219E"/>
    <w:rsid w:val="008933EC"/>
    <w:rsid w:val="008E54FB"/>
    <w:rsid w:val="00947EAA"/>
    <w:rsid w:val="00954CAC"/>
    <w:rsid w:val="0096343C"/>
    <w:rsid w:val="009D1C06"/>
    <w:rsid w:val="00A23A61"/>
    <w:rsid w:val="00A469FA"/>
    <w:rsid w:val="00AC5303"/>
    <w:rsid w:val="00B33469"/>
    <w:rsid w:val="00B91F06"/>
    <w:rsid w:val="00B96290"/>
    <w:rsid w:val="00BC0426"/>
    <w:rsid w:val="00BD0D1C"/>
    <w:rsid w:val="00C04DDB"/>
    <w:rsid w:val="00C22898"/>
    <w:rsid w:val="00CB4109"/>
    <w:rsid w:val="00CF2331"/>
    <w:rsid w:val="00D54F9F"/>
    <w:rsid w:val="00D65E93"/>
    <w:rsid w:val="00E31FFB"/>
    <w:rsid w:val="00E75CEB"/>
    <w:rsid w:val="00EF0298"/>
    <w:rsid w:val="00F21AB4"/>
    <w:rsid w:val="00F44861"/>
    <w:rsid w:val="00F86FF6"/>
    <w:rsid w:val="00FE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3A79"/>
  <w15:docId w15:val="{842DA6B7-983E-4763-8D0E-FD185EC1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2E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Akapit z listą BS,Outlines a.b.c.,Akapit z lista BS"/>
    <w:basedOn w:val="Normal"/>
    <w:link w:val="ListParagraphChar"/>
    <w:uiPriority w:val="34"/>
    <w:qFormat/>
    <w:rsid w:val="00C22898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,Outlines a.b.c. Char"/>
    <w:link w:val="ListParagraph"/>
    <w:uiPriority w:val="34"/>
    <w:locked/>
    <w:rsid w:val="00C22898"/>
    <w:rPr>
      <w:lang w:val="ro-RO"/>
    </w:rPr>
  </w:style>
  <w:style w:type="paragraph" w:styleId="Revision">
    <w:name w:val="Revision"/>
    <w:hidden/>
    <w:uiPriority w:val="99"/>
    <w:semiHidden/>
    <w:rsid w:val="00F448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345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3</cp:revision>
  <dcterms:created xsi:type="dcterms:W3CDTF">2023-07-21T10:48:00Z</dcterms:created>
  <dcterms:modified xsi:type="dcterms:W3CDTF">2023-07-21T11:01:00Z</dcterms:modified>
</cp:coreProperties>
</file>